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2AE7" w14:textId="77777777" w:rsidR="00260499" w:rsidRDefault="00260499" w:rsidP="00260499">
      <w:r>
        <w:t xml:space="preserve">SPRING MEETING, GLASGOW May </w:t>
      </w:r>
      <w:proofErr w:type="gramStart"/>
      <w:r>
        <w:t>2012;</w:t>
      </w:r>
      <w:proofErr w:type="gramEnd"/>
    </w:p>
    <w:p w14:paraId="3A0CA9A6" w14:textId="77777777" w:rsidR="00260499" w:rsidRDefault="00260499" w:rsidP="00260499">
      <w:r>
        <w:t xml:space="preserve">‘Locating the child: mapping the healthcare of children in Victorian &amp; Edwardian England’, </w:t>
      </w:r>
      <w:proofErr w:type="spellStart"/>
      <w:r>
        <w:t>Dr.</w:t>
      </w:r>
      <w:proofErr w:type="spellEnd"/>
      <w:r>
        <w:t xml:space="preserve"> Jonathan Reinarz (George Armstrong Lecture)</w:t>
      </w:r>
    </w:p>
    <w:p w14:paraId="12D514F5" w14:textId="77777777" w:rsidR="00260499" w:rsidRDefault="00260499" w:rsidP="00260499">
      <w:r>
        <w:t xml:space="preserve">‘From headache tablets to headache tablets—a history of headache in childhood’, </w:t>
      </w:r>
      <w:proofErr w:type="spellStart"/>
      <w:r>
        <w:t>Dr.</w:t>
      </w:r>
      <w:proofErr w:type="spellEnd"/>
      <w:r>
        <w:t xml:space="preserve"> Andrew Williams</w:t>
      </w:r>
    </w:p>
    <w:p w14:paraId="1391B1B4" w14:textId="77777777" w:rsidR="00260499" w:rsidRDefault="00260499" w:rsidP="00260499">
      <w:r>
        <w:t xml:space="preserve">‘1000 voices—preliminary analysis of paediatric admissions to English Voluntary Hospitals for 1756 and 1779’, </w:t>
      </w:r>
      <w:proofErr w:type="spellStart"/>
      <w:r>
        <w:t>Dr.</w:t>
      </w:r>
      <w:proofErr w:type="spellEnd"/>
      <w:r>
        <w:t xml:space="preserve"> Raman Sharma</w:t>
      </w:r>
    </w:p>
    <w:p w14:paraId="190EB2A3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99"/>
    <w:rsid w:val="00260499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8653"/>
  <w15:chartTrackingRefBased/>
  <w15:docId w15:val="{DC3C8D3D-AAAD-421C-B7CA-0B7F984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99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2024-02-01T21:05:00Z</dcterms:created>
  <dcterms:modified xsi:type="dcterms:W3CDTF">2024-02-01T21:06:00Z</dcterms:modified>
</cp:coreProperties>
</file>